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DOGS ELIGIBLE FOR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TRADITIONAL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FOSTER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Instantly/after behavior eval: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Blockheads (over 1 year) –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Emphasis will still be placed on long timers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Previous “long timers” being returned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Dogs in decline noted/recommended by behavior team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foster coordinator will bring volunteer recommends to BT for feedback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Med-large breed seniors (8+ years)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Dogs with severe mobility issues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Additional medical  that are on the adoption floor or are in ISO with only Kennel cough (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foster coordinator will bring volunteer recommends to clinic staff for feedback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14 days: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Small breed seniors (8+)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30 days: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DOGS ELIGIBLE FOR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 FOSTER TO ADOPT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Instantly/after behavior eval: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Unaltered animals * if we are caught  not up with surgeries  or  kennel census is excessive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Short term medical issues being resolved by PACC clinic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Dogs awaiting “special surgery” from PACC Clinic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60 days: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spacing w:after="0" w:line="259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healthy, FTA agrees to adoption within 2 weeks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after="0" w:line="259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unhealthy, FTA agrees to adopt after any short term medical issues as designated by PACC clinic are resolved. FTA will take over any existing long term medical issues.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MEDICAL ANIMAL AVAILABLE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TRADITIONAL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FOR FOSTER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Instantly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(Not available for FTA)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neonatal (under 2 months old)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Mom and litters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Pregnant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Veterinarian has evaluated: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(maybe considered for FTA on case by case)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animals in ICU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Dogs in medical ISO kennels (not kennel cough)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Animals with medical without “ok for adoption” from Medical Team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Ringworm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Hospice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CATS AVAILABLE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TRADITIONAL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FOR FOSTER 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Instantly/after evaluation: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Stressed cats that are owner surrenders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 socialized stray kittens and cats that are between 8 weeks and 1 year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Cats with severe mobility issues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Cats in decline recommended by the Cat Care Team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Mild medical (URI, Calici, Renal,)</w:t>
      </w:r>
    </w:p>
    <w:p w:rsidR="00000000" w:rsidDel="00000000" w:rsidP="00000000" w:rsidRDefault="00000000" w:rsidRPr="00000000" w14:paraId="00000031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14 days: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ADULT CATS ELIGIBLE FOR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 FOSTER TO ADOPT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Instantly/after behavior eval: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Unaltered animals * if we are caught  not up with surgeries  or  kennel census is excessive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Short term medical issues being resolved by PACC clinic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Cats awaiting “special surgery” from PACC Clinic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60 days: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line="259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line="259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healthy, FTA agrees to adoption within 2 weeks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after="0" w:line="259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unhealthy, FTA agrees to adopt after any short term medical issues as designated by PACC clinic are resolved. FTA will take over any existing long term medical issues.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63F9"/>
    <w:pPr>
      <w:spacing w:after="0" w:line="240" w:lineRule="auto"/>
    </w:pPr>
    <w:rPr>
      <w:rFonts w:ascii="Calibri" w:cs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063F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0A0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0A0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hN0N+TKnBAxfZvKQ6VHssNzBA==">AMUW2mVFeEHMnry9IbRijxYd1Z5oWW3ImY+A3WxstiJ6VxR9jKbRddqm8h3fU6R+vSQOeSZr9jBitN4NOE+WJghbVD5pKTtenpxf4wgIt2Xe/gcBilin+ShBrZ9lT2I6eMkGCWG8oxFx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2019-04-03T21:05:00Z</dcterms:created>
  <dc:creator>Elizabeth Cardarelli</dc:creator>
</cp:coreProperties>
</file>